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DC2300C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297136" w:rsidRPr="00297136">
              <w:rPr>
                <w:sz w:val="20"/>
                <w:szCs w:val="20"/>
                <w:lang w:val="tr-TR"/>
              </w:rPr>
              <w:t>ISL1002</w:t>
            </w:r>
            <w:r w:rsidR="00297136">
              <w:rPr>
                <w:sz w:val="20"/>
                <w:szCs w:val="20"/>
                <w:lang w:val="tr-TR"/>
              </w:rPr>
              <w:t xml:space="preserve"> </w:t>
            </w:r>
            <w:proofErr w:type="gramStart"/>
            <w:r w:rsidR="00297136" w:rsidRPr="00297136">
              <w:rPr>
                <w:sz w:val="20"/>
                <w:szCs w:val="20"/>
                <w:lang w:val="tr-TR"/>
              </w:rPr>
              <w:t>Muhasebe -</w:t>
            </w:r>
            <w:proofErr w:type="gramEnd"/>
            <w:r w:rsidR="00297136" w:rsidRPr="00297136">
              <w:rPr>
                <w:sz w:val="20"/>
                <w:szCs w:val="20"/>
                <w:lang w:val="tr-TR"/>
              </w:rPr>
              <w:t xml:space="preserve"> II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9F582DF" w:rsidR="00F02867" w:rsidRPr="00294D52" w:rsidRDefault="00294D5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294D52">
              <w:rPr>
                <w:sz w:val="20"/>
                <w:szCs w:val="20"/>
                <w:lang w:val="tr-TR"/>
              </w:rPr>
              <w:t>Prof. Dr. Abdülkadir PEHLİVAN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3C4461FB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</w:t>
            </w:r>
            <w:r w:rsidR="00294D52">
              <w:rPr>
                <w:sz w:val="20"/>
                <w:szCs w:val="20"/>
                <w:lang w:val="tr-TR"/>
              </w:rPr>
              <w:t>azartesi</w:t>
            </w:r>
            <w:r>
              <w:rPr>
                <w:sz w:val="20"/>
                <w:szCs w:val="20"/>
                <w:lang w:val="tr-TR"/>
              </w:rPr>
              <w:t>-</w:t>
            </w:r>
            <w:r w:rsidR="00294D52" w:rsidRPr="00294D52">
              <w:rPr>
                <w:sz w:val="20"/>
                <w:szCs w:val="20"/>
                <w:lang w:val="tr-TR"/>
              </w:rPr>
              <w:t>08:00-11:00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A46ED9E" w:rsidR="00F02867" w:rsidRPr="00FF5914" w:rsidRDefault="00294D52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294D52">
              <w:rPr>
                <w:color w:val="000000"/>
                <w:sz w:val="20"/>
                <w:szCs w:val="20"/>
                <w:lang w:val="tr-TR"/>
              </w:rPr>
              <w:t>apehlivan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294D52">
              <w:rPr>
                <w:color w:val="000000"/>
                <w:sz w:val="20"/>
                <w:szCs w:val="20"/>
                <w:lang w:val="tr-TR"/>
              </w:rPr>
              <w:t>04623778764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proofErr w:type="gramStart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</w:t>
            </w:r>
            <w:proofErr w:type="gramEnd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 xml:space="preserve">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4B5AAA7" w:rsidR="00F02867" w:rsidRPr="00FF5914" w:rsidRDefault="00294D5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dönem sonu envanter işlemlerini muhasebe ilkeleri ve vergi mevzuatı çerçevesinde kaydedebilmesi; dönem sonu mali tablolarını hazırlayıp yorumlayabilmesidir.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1-Dönem sonu işlemlerine ilişkin temel kavramları tanımlar ve bu işlemlerin gerekliliğini açıklar.</w:t>
              <w:br/>
              <w:t>2-Genel kabul görmüş muhasebe ilkeleri ve vergi mevzuatı çerçevesinde dönem sonu ayarlamalarının mekanizmasını açıklar.</w:t>
              <w:br/>
              <w:t>3-Uygun muhasebe ilkelerini kullanarak dönem sonu işlemlerini defterlere kaydeder.</w:t>
              <w:br/>
              <w:t>4-Dönem sonu kayıtlarının şirket performansı üzerindeki etkisini analiz eder.</w:t>
              <w:br/>
              <w:t>5-Dönem sonu işlemlerine dayalı olarak mali tabloları hazırlar ve yorumlar.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FC724E9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294D52">
              <w:rPr>
                <w:noProof/>
                <w:sz w:val="20"/>
                <w:szCs w:val="20"/>
                <w:lang w:eastAsia="tr-TR"/>
              </w:rPr>
              <w:t>3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294D52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1251C80" w:rsidR="00AA482F" w:rsidRPr="00801AE8" w:rsidRDefault="00294D52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  <w:lang w:val="tr-TR"/>
              </w:rPr>
              <w:t>Temel kavramlar ve tanımlar (envanter, değerleme)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3831D5E" w:rsidR="00AA482F" w:rsidRPr="00801AE8" w:rsidRDefault="00294D5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  <w:lang w:val="tr-TR"/>
              </w:rPr>
              <w:t>Değerleme ölçüleri ve uygulama alanları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A54656D" w:rsidR="00AA482F" w:rsidRPr="00801AE8" w:rsidRDefault="00294D52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proofErr w:type="spellStart"/>
            <w:r w:rsidRPr="00294D52">
              <w:rPr>
                <w:color w:val="212529"/>
                <w:sz w:val="20"/>
                <w:szCs w:val="20"/>
              </w:rPr>
              <w:t>Aktif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hesaplarda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envanter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ve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değerleme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;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dönen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94D52">
              <w:rPr>
                <w:color w:val="212529"/>
                <w:sz w:val="20"/>
                <w:szCs w:val="20"/>
              </w:rPr>
              <w:t>varlıklar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>(</w:t>
            </w:r>
            <w:proofErr w:type="spellStart"/>
            <w:proofErr w:type="gramEnd"/>
            <w:r w:rsidRPr="00294D52">
              <w:rPr>
                <w:color w:val="212529"/>
                <w:sz w:val="20"/>
                <w:szCs w:val="20"/>
              </w:rPr>
              <w:t>hazır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94D52">
              <w:rPr>
                <w:color w:val="212529"/>
                <w:sz w:val="20"/>
                <w:szCs w:val="20"/>
              </w:rPr>
              <w:t>değerler</w:t>
            </w:r>
            <w:proofErr w:type="spellEnd"/>
            <w:r w:rsidRPr="00294D52">
              <w:rPr>
                <w:color w:val="212529"/>
                <w:sz w:val="20"/>
                <w:szCs w:val="20"/>
              </w:rPr>
              <w:t>)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EA53151" w:rsidR="00AA482F" w:rsidRPr="00801AE8" w:rsidRDefault="00294D52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Aktif hesaplarda envanter ve değerleme; dönen varlıklar (menkul kıymetler)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0C66B704" w:rsidR="00AA482F" w:rsidRPr="00FF5914" w:rsidRDefault="00294D52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noProof/>
                <w:color w:val="212529"/>
                <w:sz w:val="20"/>
                <w:szCs w:val="20"/>
                <w:lang w:eastAsia="tr-TR"/>
              </w:rPr>
              <w:t>Aktif hesaplarda envanter ve değerleme; dönen varlıklar (ticari alacaklar)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21C78C9" w:rsidR="00AA482F" w:rsidRPr="00FF5914" w:rsidRDefault="00294D52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Aktif hesaplarda envanter ve değerleme; dönen varlıklar(ticari alacaklar - stoklar)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59C4E55" w:rsidR="00AA482F" w:rsidRPr="00FF5914" w:rsidRDefault="00294D5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Aktif hesaplarda envanter ve değerleme; dönen varlıklar(stoklar devam)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9B5DC97" w:rsidR="00AA482F" w:rsidRPr="00FF5914" w:rsidRDefault="00294D52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noProof/>
                <w:color w:val="212529"/>
                <w:sz w:val="20"/>
                <w:szCs w:val="20"/>
                <w:lang w:eastAsia="tr-TR"/>
              </w:rPr>
              <w:t>Aktif hesaplarda envanter ve değerleme; duran varlıklar(mali duran varlıklar)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779FA9F" w:rsidR="00AA482F" w:rsidRPr="00FF5914" w:rsidRDefault="00294D5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Aktif hesaplarda envanter ve değerleme; duran varlıklar(maddi, maddi olmayan duran varlıklar; amortisman ve itfa uygulamaları)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11E6584" w:rsidR="00AA482F" w:rsidRPr="00FF5914" w:rsidRDefault="00294D52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noProof/>
                <w:color w:val="212529"/>
                <w:sz w:val="20"/>
                <w:szCs w:val="20"/>
                <w:lang w:eastAsia="tr-TR"/>
              </w:rPr>
              <w:t>Pasif hesaplarda envanter ve değerleme; kısa ve uzun vadeli yabancı kaynaklar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E12ABFD" w:rsidR="00AA482F" w:rsidRPr="00FF5914" w:rsidRDefault="00294D52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Pasif hesaplarda envanter ve değerleme; özkaynaklar (özkaynak unsurları)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7914E79" w:rsidR="00AA482F" w:rsidRPr="00FF5914" w:rsidRDefault="00294D52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Gider ve gelir hesaplarında envanter ve değerleme ile Nazım Hesapların incelenmesi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C9E3629" w:rsidR="009D203D" w:rsidRPr="00FF5914" w:rsidRDefault="00294D52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Bilanço, gelir tablosu analiz ve değerlemesi ile enflasyon muhasebesi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D07043F" w:rsidR="009D203D" w:rsidRPr="00FF5914" w:rsidRDefault="00294D52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94D5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Uygulamalar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41A7" w14:textId="77777777" w:rsidR="00CF4569" w:rsidRDefault="00294D5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Sürmen, Y. 2012, Muhasebe-II, Celepler Matbaacılık, Trabzon</w:t>
            </w:r>
          </w:p>
          <w:p w14:paraId="74FD8776" w14:textId="77777777" w:rsidR="00294D52" w:rsidRDefault="00294D5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Karapınar, A. 2005, Dönemsonu Muhasebe Uygulamaları, Ankara</w:t>
            </w:r>
          </w:p>
          <w:p w14:paraId="7A158974" w14:textId="77777777" w:rsidR="00294D52" w:rsidRDefault="00294D5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Ataman, Ü. 2007, Muhasebede Dönemsonu İşlemleri</w:t>
            </w:r>
          </w:p>
          <w:p w14:paraId="11E7059D" w14:textId="4DD03685" w:rsidR="00294D52" w:rsidRPr="00187167" w:rsidRDefault="00294D5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94D52">
              <w:rPr>
                <w:noProof/>
                <w:sz w:val="20"/>
                <w:szCs w:val="20"/>
              </w:rPr>
              <w:t>Gücenme, Ü. 2006, Muhasebe ve Değerleme,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11</cp:revision>
  <cp:lastPrinted>2023-05-22T14:44:00Z</cp:lastPrinted>
  <dcterms:created xsi:type="dcterms:W3CDTF">2024-05-15T13:03:00Z</dcterms:created>
  <dcterms:modified xsi:type="dcterms:W3CDTF">2026-04-21T18:25:00Z</dcterms:modified>
</cp:coreProperties>
</file>